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риложение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к письму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Депэкономики Югры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283" w:right="0" w:hanging="283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_________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______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_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ind w:firstLine="0"/>
        <w:jc w:val="left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</w:r>
      <w:r>
        <w:rPr>
          <w:rFonts w:ascii="TimesNewRomanPSMT" w:hAnsi="TimesNewRomanPSMT" w:cs="TimesNewRomanPSMT"/>
          <w:sz w:val="28"/>
          <w:szCs w:val="28"/>
        </w:rPr>
      </w:r>
    </w:p>
    <w:p>
      <w:pPr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</w:r>
      <w:r>
        <w:rPr>
          <w:rFonts w:ascii="TimesNewRomanPSMT" w:hAnsi="TimesNewRomanPSMT" w:cs="TimesNewRomanPSMT"/>
          <w:sz w:val="28"/>
          <w:szCs w:val="28"/>
        </w:rPr>
      </w:r>
    </w:p>
    <w:p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подходах, применяемых для оценки необходимости поддержки </w:t>
      </w:r>
    </w:p>
    <w:p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  <w:t xml:space="preserve">малого и среднего предпринимательства с учетом налоговых льгот, пониженных ставок и других механизмов.</w:t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63"/>
        <w:spacing w:after="0" w:line="360" w:lineRule="auto"/>
        <w:ind w:left="0" w:firstLine="709"/>
        <w:jc w:val="both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Департаментом экономического развития автономного округа совместно с Департаментом финансов автономного округа на постоянной основе проводятся мероприятия по обсуждению предложений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 налоговых льготах,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поступивших от предпринимательского сообщества, в том числе от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Уполномоченного по защите прав предпринимателей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Югры,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регион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альных </w:t>
      </w:r>
      <w:r>
        <w:rPr>
          <w:rFonts w:ascii="Times New Roman" w:hAnsi="Times New Roman" w:cs="Times New Roman"/>
          <w:sz w:val="28"/>
          <w:szCs w:val="28"/>
        </w:rPr>
        <w:t xml:space="preserve">отделений Общероссийских общественных организаций «Опора России», «Деловая Россия»,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депутатов, входящих в состав рабочей группы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</w:p>
    <w:p>
      <w:pPr>
        <w:pStyle w:val="864"/>
        <w:spacing w:line="360" w:lineRule="auto"/>
        <w:ind w:firstLine="708"/>
        <w:jc w:val="both"/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Cs/>
          <w:i w:val="0"/>
          <w:iCs w:val="0"/>
          <w:color w:val="000000" w:themeColor="text1"/>
          <w:spacing w:val="-4"/>
          <w:sz w:val="28"/>
          <w:szCs w:val="28"/>
          <w:highlight w:val="white"/>
          <w:lang w:val="ru-RU"/>
        </w:rPr>
        <w:t xml:space="preserve">Поступившие предложения были проанализированы и прошли обсуждение </w:t>
      </w:r>
      <w:r>
        <w:rPr>
          <w:rFonts w:ascii="Times New Roman" w:hAnsi="Times New Roman" w:eastAsia="Times New Roman" w:cs="Times New Roman"/>
          <w:bCs/>
          <w:i w:val="0"/>
          <w:iCs w:val="0"/>
          <w:color w:val="000000" w:themeColor="text1"/>
          <w:spacing w:val="-4"/>
          <w:sz w:val="28"/>
          <w:szCs w:val="28"/>
          <w:highlight w:val="white"/>
          <w:lang w:val="ru-RU"/>
        </w:rPr>
        <w:t xml:space="preserve">на</w:t>
      </w:r>
      <w:r>
        <w:rPr>
          <w:rFonts w:ascii="Times New Roman" w:hAnsi="Times New Roman" w:eastAsia="Times New Roman" w:cs="Times New Roman"/>
          <w:bCs/>
          <w:i w:val="0"/>
          <w:iCs w:val="0"/>
          <w:color w:val="000000" w:themeColor="text1"/>
          <w:spacing w:val="-4"/>
          <w:sz w:val="28"/>
          <w:szCs w:val="28"/>
          <w:highlight w:val="white"/>
          <w:lang w:val="ru-RU"/>
        </w:rPr>
        <w:t xml:space="preserve"> заседаниях рабочей группы </w:t>
      </w:r>
      <w:r>
        <w:rPr>
          <w:rFonts w:ascii="Times New Roman" w:hAnsi="Times New Roman" w:eastAsia="Times New Roman" w:cs="Times New Roman"/>
          <w:bCs/>
          <w:i w:val="0"/>
          <w:iCs w:val="0"/>
          <w:color w:val="000000" w:themeColor="text1"/>
          <w:spacing w:val="-4"/>
          <w:sz w:val="28"/>
          <w:szCs w:val="28"/>
          <w:highlight w:val="white"/>
          <w:lang w:val="ru-RU"/>
        </w:rPr>
        <w:t xml:space="preserve">с участием предпринимателей, деловых сообществ, Департа</w:t>
      </w:r>
      <w:r>
        <w:rPr>
          <w:rFonts w:ascii="Times New Roman" w:hAnsi="Times New Roman" w:eastAsia="Times New Roman" w:cs="Times New Roman"/>
          <w:bCs/>
          <w:i w:val="0"/>
          <w:iCs w:val="0"/>
          <w:color w:val="000000" w:themeColor="text1"/>
          <w:spacing w:val="-4"/>
          <w:sz w:val="28"/>
          <w:szCs w:val="28"/>
          <w:highlight w:val="white"/>
          <w:lang w:val="ru-RU"/>
        </w:rPr>
        <w:t xml:space="preserve">мента финансов автономного округа, муниципальных образований автономного округа. В 2024 году состоялись 4 заседания рабочей группы (27 апреля, 24 мая, 25 июля, 30 августа). В ходе обсуждения учитывались, с одной стороны, влияние налоговых льгот на бизнес,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highlight w:val="white"/>
        </w:rPr>
        <w:t xml:space="preserve">сохранение предсказуемых у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highlight w:val="white"/>
        </w:rPr>
        <w:t xml:space="preserve">словий налогообложения, </w:t>
      </w:r>
      <w:r>
        <w:rPr>
          <w:rFonts w:ascii="Times New Roman" w:hAnsi="Times New Roman" w:eastAsia="Times New Roman" w:cs="Times New Roman"/>
          <w:bCs/>
          <w:i w:val="0"/>
          <w:iCs w:val="0"/>
          <w:color w:val="000000" w:themeColor="text1"/>
          <w:spacing w:val="-4"/>
          <w:sz w:val="28"/>
          <w:szCs w:val="28"/>
          <w:highlight w:val="white"/>
          <w:lang w:val="ru-RU"/>
        </w:rPr>
        <w:t xml:space="preserve">с другой стороны,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оценка эффективности налоговых льгот и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зачисление налоговых доходов от специальных налоговых режимов в бюджеты муниципальных образований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highlight w:val="white"/>
        </w:rPr>
        <w:t xml:space="preserve"> обеспечение устойчивости бюджетной системы региона.</w:t>
      </w:r>
      <w:r>
        <w:rPr>
          <w:rFonts w:ascii="Times New Roman" w:hAnsi="Times New Roman" w:cs="Times New Roman"/>
          <w:highlight w:val="white"/>
        </w:rPr>
      </w:r>
    </w:p>
    <w:p>
      <w:pPr>
        <w:pStyle w:val="863"/>
        <w:spacing w:after="0" w:line="360" w:lineRule="auto"/>
        <w:ind w:left="0" w:firstLine="709"/>
        <w:jc w:val="both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 результатам проведения таких встреч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целях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недопущения значительного роста налога на имущество организаций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в июне 2024 года внесены изменения в Закон автономного округа «О нало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ге на имущество организаций», который устанавливает налоговые льготы в отношении объектов недвижимого имущества, налоговая база по которым определяется как их кадастровая стоимость, с поэтапным увеличением налога, рассчитанным на три периода до 2027 года».</w:t>
      </w:r>
    </w:p>
    <w:p>
      <w:pPr>
        <w:pStyle w:val="863"/>
        <w:spacing w:after="0" w:line="360" w:lineRule="auto"/>
        <w:ind w:left="0" w:firstLine="709"/>
        <w:jc w:val="both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Также рассматривался вопрос о сохранении пониженной ставки в размере 5% для объекта доходы, уменьшенные на величину расходов,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 установлением при этом условия для применения.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 Предложения по установлению требований к применению пониженной ставки сформированы </w:t>
      </w:r>
      <w:r>
        <w:rPr>
          <w:rFonts w:ascii="Times New Roman" w:hAnsi="Times New Roman" w:cs="Times New Roman"/>
          <w:sz w:val="28"/>
          <w:szCs w:val="28"/>
        </w:rPr>
        <w:t xml:space="preserve">с учетом новых задач и показателей, установленных </w:t>
      </w:r>
      <w:r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от 7 мая 2024 года № 309 «О национальных целях развития Российской Федерации на период до 2030 года и на перспективу до 2036 года»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</w:r>
    </w:p>
    <w:p>
      <w:pPr>
        <w:pStyle w:val="863"/>
        <w:spacing w:after="0" w:line="360" w:lineRule="auto"/>
        <w:ind w:left="0" w:firstLine="709"/>
        <w:jc w:val="both"/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Новые задачи развития сектора МСП, направлены на «выращивание компаний», посредством:</w:t>
      </w:r>
    </w:p>
    <w:p>
      <w:pPr>
        <w:pStyle w:val="863"/>
        <w:spacing w:after="0" w:line="360" w:lineRule="auto"/>
        <w:ind w:left="0" w:firstLine="709"/>
        <w:jc w:val="both"/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увеличения дохода в расчете на 1 работника субъекта МСП;</w:t>
      </w:r>
    </w:p>
    <w:p>
      <w:pPr>
        <w:pStyle w:val="863"/>
        <w:spacing w:after="0" w:line="360" w:lineRule="auto"/>
        <w:ind w:left="0" w:firstLine="709"/>
        <w:jc w:val="both"/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увеличения доли микропредприятий, переходящих в категорию малого бизнеса;</w:t>
      </w:r>
    </w:p>
    <w:p>
      <w:pPr>
        <w:pStyle w:val="863"/>
        <w:spacing w:after="0" w:line="360" w:lineRule="auto"/>
        <w:ind w:left="0" w:firstLine="709"/>
        <w:jc w:val="both"/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увеличения доли субъектов МСП, относящихся к категории «средние», в общем количестве субъектов МСП;</w:t>
      </w:r>
    </w:p>
    <w:p>
      <w:pPr>
        <w:pStyle w:val="863"/>
        <w:spacing w:after="0" w:line="360" w:lineRule="auto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увеличения «продолжительности жизни» вновь созданных субъектов МСП, и др.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</w:r>
    </w:p>
    <w:p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постановлением Правительства автономного округа от 18 октября 2019 года № 394-п «О порядке оценки налоговых расходов Ханты-Мансийского автономного округа – Югры и признании утратившими силу некоторых постановлений Правительства Ханты-Ман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сийского автономного округа – Югры»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Департаментом экономического развития Ханты-Мансийского автономного округа – Югры проведена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оценка эффективности предоставленных налоговых расходов Ханты-Мансийского автономного округа – Югры (далее – налоговые расходы) за 2023 год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Результаты проведения оценки эффективности налоговых расходов показали, что по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упрощенной системе налогообложения неэффективными признаны:</w:t>
      </w:r>
      <w:r>
        <w:rPr>
          <w:sz w:val="28"/>
          <w:szCs w:val="28"/>
        </w:rPr>
      </w:r>
    </w:p>
    <w:p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–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налоговые расходы в виде пониженной (5 процентов) ставки налога для организаций и индивидуальных предпринимателей, осуществляющих определенные виды деятельности, установленные законом (объект налогообложения «доходы»), признаны неэффективными по причине н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едостижения бюджетной и экономической эффективности;</w:t>
      </w:r>
      <w:r>
        <w:rPr>
          <w:sz w:val="28"/>
          <w:szCs w:val="28"/>
        </w:rPr>
      </w:r>
    </w:p>
    <w:p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–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налоговые расходы в виде пониженной (5 процентов) ставки налога для организаций и индивидуальных предпринимателей (объект налогообложения «доходы-расходы»), признаны неэффективными по причине недостижения бюджетной, экономической и социальной эффективност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и;</w:t>
      </w:r>
      <w:r>
        <w:rPr>
          <w:sz w:val="28"/>
          <w:szCs w:val="28"/>
        </w:rPr>
      </w:r>
    </w:p>
    <w:p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– налоговые расходы в виде пониженной (1 процент) ставки налога для субъектов малого и среднего предпринимательства – социальных предприятий,  признаны неэффективными по причине недостижения бюджетной, экономической и социальной эффективности;</w:t>
      </w:r>
      <w:r>
        <w:rPr>
          <w:sz w:val="28"/>
          <w:szCs w:val="28"/>
        </w:rPr>
      </w:r>
    </w:p>
    <w:p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–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налоговые расходы в виде пониженной (0 процентов) ставки налога для впервые зарегистрированных индивидуальных предпринимателей, осуществляющие определенные виды предпринимательской деятельности» признаны неэффективными по причине недостижения бюджетной, э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кономической и социальной эффективности.</w:t>
      </w:r>
      <w:r>
        <w:rPr>
          <w:sz w:val="28"/>
          <w:szCs w:val="28"/>
        </w:rPr>
      </w:r>
    </w:p>
    <w:p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Учитывая результативность вклада в достижение показателя государственной программы, в целя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х сохранения и увеличения численности, занятых в сфере малого и среднего предпринимательства, включая индивидуальных предпринимателей, Департаментом экономического развития Ханты-Мансийского автономного округа – Югры (куратор налогового расхода) предложено</w:t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-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продлить действие до 1 января 2028 года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налогового расхода в виде пониженной (5 процентов) ставки налога для организаций и индивидуальных предпринимателей, осуществляющих определенные виды деятельности, установленные законом (объект налогообложения «доходы»)</w:t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- продлить действие до 1 января 2028 года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налогового расхода в виде пониженной (1 процент) ставки налога для субъектов малого и среднего предпринимательства – социальных предприятий;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- продлить действие до 1 января 2027 года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налогового расхода в виде пониженной (0 процентов) ставки налога для впервые зарегистрированных индивидуальных предпринимателей, осуществляющих определенные виды предпринимательской деятельности»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 основании Федерального закона от 8 августа 2024 года № 259-ФЗ «О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сборах»</w:t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spacing w:after="0" w:afterAutospacing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 продлить действие до 1 января 2027 года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 установлением дифференцированных ставок и условий их применения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налогового расходы в виде пониженной (5 процентов) ставки налога для организаций и индивидуальных предпринимателей (объект налогообложения «доходы-расходы»)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Ранее пониженная ставка в размере 5% применялась без условий, предлагается определить условия для дальнейшего ее применения, которые содержат требования: по включению в реестр субъектов малого и среднего предпринимательства (далее – МСП),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уров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ю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заработной платы не ниже МРОТ с учетом северного и районного коэффициентов. В сл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учае несоблюдения одного из условий пониженная ставка применяется в размере 7%, во всех остальных случаях применяется ставка 10%.</w:t>
      </w:r>
      <w:r>
        <w:rPr>
          <w:sz w:val="28"/>
          <w:szCs w:val="28"/>
        </w:rPr>
      </w:r>
    </w:p>
    <w:p>
      <w:pPr>
        <w:spacing w:after="0" w:afterAutospacing="0" w:line="360" w:lineRule="auto"/>
        <w:ind w:firstLine="709"/>
        <w:jc w:val="both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Таким образом, в автономном округе сохраняется максимальная пониженная ставка для объекта доходы </w:t>
      </w:r>
      <w:r>
        <w:rPr>
          <w:rFonts w:ascii="Times New Roman" w:hAnsi="Times New Roman" w:cs="Times New Roman"/>
          <w:sz w:val="28"/>
          <w:szCs w:val="28"/>
        </w:rPr>
        <w:t xml:space="preserve">уменьшенные на величину расходов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но ее применение будет ограничено. При этом, по предварительным данным  у 75% налогоплательщиков сохраняется ставка в размере 5%, у порядка 25% прогнозируется увеличение ставки на 2% и менее 1%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должны будут перейти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 ставку 10%. Такой подход не противоречит заданным трендам на федеральном уровне. В своем Послании Президент Российской Федерации сказал, что  налоговый режим должен быть смягчён для производственных предприятий МСП, поэтому акцент налоговой политики  по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тепенно смещается с антикризисной повестки к задачам содействия достижению национальных целей развития страны, в этой связи при введении мер налогового стимулирования целесообразно введение дифференцированного подхода с учетом приоритетов развития региона.</w:t>
      </w:r>
      <w:r>
        <w:rPr>
          <w:sz w:val="28"/>
          <w:szCs w:val="28"/>
        </w:rPr>
      </w:r>
    </w:p>
    <w:p>
      <w:pPr>
        <w:pStyle w:val="863"/>
        <w:spacing w:after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Стоит отмет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ить, что помимо налоговых льгот и преференций для субъектов малого и среднего предпринимательства действует комплекс мер поддержки, в том числе финансовые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en-US"/>
        </w:rPr>
        <w:t xml:space="preserve">: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льготные займы,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компенсация банковской процентной ставки и лизинговых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платежей, включая затраты на первоначальный взнос по договорам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финансовой аренды;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 поручительство региональной гарантийной организации, в целях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обеспечения банковского кредита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и другие.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:lang w:val="ru-RU"/>
        </w:rPr>
        <w:t xml:space="preserve"> </w:t>
      </w:r>
    </w:p>
    <w:p>
      <w:pPr>
        <w:pStyle w:val="863"/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:lang w:val="ru-RU"/>
        </w:rPr>
        <w:t xml:space="preserve">Объем финансирования в 2024 году на поддержку субъектов малого и среднего предпринимательства составил более 4.5 млрд.руб в том числе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:lang w:val="en-US"/>
        </w:rPr>
        <w:t xml:space="preserve">: 34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:lang w:val="ru-RU"/>
        </w:rPr>
        <w:t xml:space="preserve">,8 млн.руб. - федеральные средства, 1,7 млрд. руб. – окружной бюджет, 89,2 – муниципальный бюджет, 2,7 млрд. руб. внебюджетные средства организаций инфраструктуры малого и среднего предпринимательства.</w:t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  <w:lang w:val="en-US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  <w:lang w:val="en-US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  <w:lang w:val="en-US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</w:r>
    </w:p>
    <w:sectPr>
      <w:headerReference w:type="default" r:id="rId9"/>
      <w:footnotePr/>
      <w:endnotePr/>
      <w:type w:val="nextPage"/>
      <w:pgSz w:w="11906" w:h="16838" w:orient="portrait"/>
      <w:pgMar w:top="1418" w:right="1276" w:bottom="1134" w:left="1559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6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13522194"/>
      <w:docPartObj>
        <w:docPartGallery w:val="Page Numbers (Top of Page)"/>
        <w:docPartUnique w:val="true"/>
      </w:docPartObj>
      <w:rPr/>
    </w:sdtPr>
    <w:sdtContent>
      <w:p>
        <w:pPr>
          <w:pStyle w:val="85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</w:p>
    </w:sdtContent>
  </w:sdt>
  <w:p>
    <w:pPr>
      <w:pStyle w:val="85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49"/>
    <w:next w:val="849"/>
    <w:link w:val="677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basedOn w:val="850"/>
    <w:link w:val="676"/>
    <w:uiPriority w:val="9"/>
    <w:rPr>
      <w:rFonts w:ascii="Arial" w:hAnsi="Arial" w:eastAsia="Arial" w:cs="Arial"/>
      <w:sz w:val="40"/>
      <w:szCs w:val="40"/>
    </w:rPr>
  </w:style>
  <w:style w:type="paragraph" w:styleId="678">
    <w:name w:val="Heading 2"/>
    <w:basedOn w:val="849"/>
    <w:next w:val="849"/>
    <w:link w:val="679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basedOn w:val="850"/>
    <w:link w:val="678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49"/>
    <w:next w:val="849"/>
    <w:link w:val="681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basedOn w:val="850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49"/>
    <w:next w:val="849"/>
    <w:link w:val="683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basedOn w:val="850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49"/>
    <w:next w:val="849"/>
    <w:link w:val="685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basedOn w:val="850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49"/>
    <w:next w:val="849"/>
    <w:link w:val="687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basedOn w:val="850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49"/>
    <w:next w:val="849"/>
    <w:link w:val="689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basedOn w:val="850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49"/>
    <w:next w:val="849"/>
    <w:link w:val="691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basedOn w:val="850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49"/>
    <w:next w:val="849"/>
    <w:link w:val="693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basedOn w:val="850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No Spacing"/>
    <w:uiPriority w:val="1"/>
    <w:qFormat/>
    <w:pPr>
      <w:spacing w:before="0" w:after="0" w:line="240" w:lineRule="auto"/>
    </w:pPr>
  </w:style>
  <w:style w:type="paragraph" w:styleId="695">
    <w:name w:val="Title"/>
    <w:basedOn w:val="849"/>
    <w:next w:val="849"/>
    <w:link w:val="696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696">
    <w:name w:val="Title Char"/>
    <w:basedOn w:val="850"/>
    <w:link w:val="695"/>
    <w:uiPriority w:val="10"/>
    <w:rPr>
      <w:sz w:val="48"/>
      <w:szCs w:val="48"/>
    </w:rPr>
  </w:style>
  <w:style w:type="paragraph" w:styleId="697">
    <w:name w:val="Subtitle"/>
    <w:basedOn w:val="849"/>
    <w:next w:val="849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>
    <w:name w:val="Subtitle Char"/>
    <w:basedOn w:val="850"/>
    <w:link w:val="697"/>
    <w:uiPriority w:val="11"/>
    <w:rPr>
      <w:sz w:val="24"/>
      <w:szCs w:val="24"/>
    </w:rPr>
  </w:style>
  <w:style w:type="paragraph" w:styleId="699">
    <w:name w:val="Quote"/>
    <w:basedOn w:val="849"/>
    <w:next w:val="849"/>
    <w:link w:val="700"/>
    <w:uiPriority w:val="29"/>
    <w:qFormat/>
    <w:pPr>
      <w:ind w:left="720" w:right="720"/>
    </w:pPr>
    <w:rPr>
      <w:i/>
    </w:rPr>
  </w:style>
  <w:style w:type="character" w:styleId="700">
    <w:name w:val="Quote Char"/>
    <w:link w:val="699"/>
    <w:uiPriority w:val="29"/>
    <w:rPr>
      <w:i/>
    </w:rPr>
  </w:style>
  <w:style w:type="paragraph" w:styleId="701">
    <w:name w:val="Intense Quote"/>
    <w:basedOn w:val="849"/>
    <w:next w:val="849"/>
    <w:link w:val="702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702">
    <w:name w:val="Intense Quote Char"/>
    <w:link w:val="701"/>
    <w:uiPriority w:val="30"/>
    <w:rPr>
      <w:i/>
    </w:rPr>
  </w:style>
  <w:style w:type="character" w:styleId="703">
    <w:name w:val="Header Char"/>
    <w:basedOn w:val="850"/>
    <w:link w:val="859"/>
    <w:uiPriority w:val="99"/>
  </w:style>
  <w:style w:type="character" w:styleId="704">
    <w:name w:val="Footer Char"/>
    <w:basedOn w:val="850"/>
    <w:link w:val="861"/>
    <w:uiPriority w:val="99"/>
  </w:style>
  <w:style w:type="paragraph" w:styleId="705">
    <w:name w:val="Caption"/>
    <w:basedOn w:val="849"/>
    <w:next w:val="8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6">
    <w:name w:val="Caption Char"/>
    <w:basedOn w:val="705"/>
    <w:link w:val="861"/>
    <w:uiPriority w:val="99"/>
  </w:style>
  <w:style w:type="table" w:styleId="707">
    <w:name w:val="Table Grid"/>
    <w:basedOn w:val="85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Table Grid Light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4">
    <w:name w:val="Grid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2">
    <w:name w:val="Grid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3">
    <w:name w:val="Grid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4">
    <w:name w:val="Grid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5">
    <w:name w:val="Grid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6">
    <w:name w:val="Grid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7">
    <w:name w:val="Grid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8">
    <w:name w:val="Grid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9">
    <w:name w:val="Grid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0">
    <w:name w:val="Grid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1">
    <w:name w:val="Grid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2">
    <w:name w:val="Grid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3">
    <w:name w:val="Grid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4">
    <w:name w:val="Grid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5">
    <w:name w:val="Grid Table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67a4d8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a5a5a5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43">
    <w:name w:val="Grid Table 5 Dark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5b9bd5" w:themeFill="accent1"/>
      </w:tcPr>
    </w:tblStylePr>
  </w:style>
  <w:style w:type="table" w:styleId="744">
    <w:name w:val="Grid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ed7d31" w:themeFill="accent2"/>
      </w:tcPr>
    </w:tblStylePr>
  </w:style>
  <w:style w:type="table" w:styleId="745">
    <w:name w:val="Grid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a5a5a5" w:themeFill="accent3"/>
      </w:tcPr>
    </w:tblStylePr>
  </w:style>
  <w:style w:type="table" w:styleId="746">
    <w:name w:val="Grid Table 5 Dark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ffc000" w:themeFill="accent4"/>
      </w:tcPr>
    </w:tblStylePr>
  </w:style>
  <w:style w:type="table" w:styleId="747">
    <w:name w:val="Grid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472c4" w:themeFill="accent5"/>
      </w:tcPr>
    </w:tblStylePr>
  </w:style>
  <w:style w:type="table" w:styleId="748">
    <w:name w:val="Grid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70ad47" w:themeFill="accent6"/>
      </w:tcPr>
    </w:tblStylePr>
  </w:style>
  <w:style w:type="table" w:styleId="749">
    <w:name w:val="Grid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7">
    <w:name w:val="Grid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8">
    <w:name w:val="Grid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9">
    <w:name w:val="Grid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0">
    <w:name w:val="Grid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1">
    <w:name w:val="Grid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2">
    <w:name w:val="Grid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3">
    <w:name w:val="List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5b9bd5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5b9bd5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5b9bd5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5b9bd5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f4b185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9c9c9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ffd864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8eabdb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8eabdb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8eabdb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8eabdb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aad08f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7">
    <w:name w:val="List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8">
    <w:name w:val="List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9">
    <w:name w:val="List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0">
    <w:name w:val="List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1">
    <w:name w:val="List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2">
    <w:name w:val="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4">
    <w:name w:val="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5">
    <w:name w:val="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6">
    <w:name w:val="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7">
    <w:name w:val="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8">
    <w:name w:val="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9">
    <w:name w:val="Bordered &amp; 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1">
    <w:name w:val="Bordered &amp; 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2">
    <w:name w:val="Bordered &amp; 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3">
    <w:name w:val="Bordered &amp; 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4">
    <w:name w:val="Bordered &amp; 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5">
    <w:name w:val="Bordered &amp; 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6">
    <w:name w:val="Bordered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3">
    <w:name w:val="Hyperlink"/>
    <w:uiPriority w:val="99"/>
    <w:unhideWhenUsed/>
    <w:rPr>
      <w:color w:val="0000ff" w:themeColor="hyperlink"/>
      <w:u w:val="single"/>
    </w:rPr>
  </w:style>
  <w:style w:type="character" w:styleId="834">
    <w:name w:val="Footnote Text Char"/>
    <w:link w:val="854"/>
    <w:uiPriority w:val="99"/>
    <w:rPr>
      <w:sz w:val="18"/>
    </w:rPr>
  </w:style>
  <w:style w:type="paragraph" w:styleId="835">
    <w:name w:val="endnote text"/>
    <w:basedOn w:val="849"/>
    <w:link w:val="836"/>
    <w:uiPriority w:val="99"/>
    <w:semiHidden/>
    <w:unhideWhenUsed/>
    <w:pPr>
      <w:spacing w:after="0" w:line="240" w:lineRule="auto"/>
    </w:pPr>
    <w:rPr>
      <w:sz w:val="20"/>
    </w:rPr>
  </w:style>
  <w:style w:type="character" w:styleId="836">
    <w:name w:val="Endnote Text Char"/>
    <w:link w:val="835"/>
    <w:uiPriority w:val="99"/>
    <w:rPr>
      <w:sz w:val="20"/>
    </w:rPr>
  </w:style>
  <w:style w:type="character" w:styleId="837">
    <w:name w:val="endnote reference"/>
    <w:basedOn w:val="850"/>
    <w:uiPriority w:val="99"/>
    <w:semiHidden/>
    <w:unhideWhenUsed/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spacing w:after="57"/>
      <w:ind w:left="0" w:right="0" w:firstLine="0"/>
    </w:pPr>
  </w:style>
  <w:style w:type="paragraph" w:styleId="839">
    <w:name w:val="toc 2"/>
    <w:basedOn w:val="849"/>
    <w:next w:val="849"/>
    <w:uiPriority w:val="39"/>
    <w:unhideWhenUsed/>
    <w:pPr>
      <w:spacing w:after="57"/>
      <w:ind w:left="283" w:right="0" w:firstLine="0"/>
    </w:pPr>
  </w:style>
  <w:style w:type="paragraph" w:styleId="840">
    <w:name w:val="toc 3"/>
    <w:basedOn w:val="849"/>
    <w:next w:val="849"/>
    <w:uiPriority w:val="39"/>
    <w:unhideWhenUsed/>
    <w:pPr>
      <w:spacing w:after="57"/>
      <w:ind w:left="567" w:right="0" w:firstLine="0"/>
    </w:pPr>
  </w:style>
  <w:style w:type="paragraph" w:styleId="841">
    <w:name w:val="toc 4"/>
    <w:basedOn w:val="849"/>
    <w:next w:val="849"/>
    <w:uiPriority w:val="39"/>
    <w:unhideWhenUsed/>
    <w:pPr>
      <w:spacing w:after="57"/>
      <w:ind w:left="850" w:right="0" w:firstLine="0"/>
    </w:pPr>
  </w:style>
  <w:style w:type="paragraph" w:styleId="842">
    <w:name w:val="toc 5"/>
    <w:basedOn w:val="849"/>
    <w:next w:val="849"/>
    <w:uiPriority w:val="39"/>
    <w:unhideWhenUsed/>
    <w:pPr>
      <w:spacing w:after="57"/>
      <w:ind w:left="1134" w:right="0" w:firstLine="0"/>
    </w:pPr>
  </w:style>
  <w:style w:type="paragraph" w:styleId="843">
    <w:name w:val="toc 6"/>
    <w:basedOn w:val="849"/>
    <w:next w:val="849"/>
    <w:uiPriority w:val="39"/>
    <w:unhideWhenUsed/>
    <w:pPr>
      <w:spacing w:after="57"/>
      <w:ind w:left="1417" w:right="0" w:firstLine="0"/>
    </w:pPr>
  </w:style>
  <w:style w:type="paragraph" w:styleId="844">
    <w:name w:val="toc 7"/>
    <w:basedOn w:val="849"/>
    <w:next w:val="849"/>
    <w:uiPriority w:val="39"/>
    <w:unhideWhenUsed/>
    <w:pPr>
      <w:spacing w:after="57"/>
      <w:ind w:left="1701" w:right="0" w:firstLine="0"/>
    </w:pPr>
  </w:style>
  <w:style w:type="paragraph" w:styleId="845">
    <w:name w:val="toc 8"/>
    <w:basedOn w:val="849"/>
    <w:next w:val="849"/>
    <w:uiPriority w:val="39"/>
    <w:unhideWhenUsed/>
    <w:pPr>
      <w:spacing w:after="57"/>
      <w:ind w:left="1984" w:right="0" w:firstLine="0"/>
    </w:pPr>
  </w:style>
  <w:style w:type="paragraph" w:styleId="846">
    <w:name w:val="toc 9"/>
    <w:basedOn w:val="849"/>
    <w:next w:val="849"/>
    <w:uiPriority w:val="39"/>
    <w:unhideWhenUsed/>
    <w:pPr>
      <w:spacing w:after="57"/>
      <w:ind w:left="2268" w:right="0" w:firstLine="0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849"/>
    <w:next w:val="849"/>
    <w:uiPriority w:val="99"/>
    <w:unhideWhenUsed/>
    <w:pPr>
      <w:spacing w:after="0" w:afterAutospacing="0"/>
    </w:pPr>
  </w:style>
  <w:style w:type="paragraph" w:styleId="849" w:default="1">
    <w:name w:val="Normal"/>
    <w:qFormat/>
  </w:style>
  <w:style w:type="character" w:styleId="850" w:default="1">
    <w:name w:val="Default Paragraph Font"/>
    <w:uiPriority w:val="1"/>
    <w:semiHidden/>
    <w:unhideWhenUsed/>
  </w:style>
  <w:style w:type="table" w:styleId="8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2" w:default="1">
    <w:name w:val="No List"/>
    <w:uiPriority w:val="99"/>
    <w:semiHidden/>
    <w:unhideWhenUsed/>
  </w:style>
  <w:style w:type="paragraph" w:styleId="853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854">
    <w:name w:val="footnote text"/>
    <w:basedOn w:val="849"/>
    <w:link w:val="855"/>
    <w:uiPriority w:val="99"/>
    <w:unhideWhenUsed/>
    <w:pPr>
      <w:spacing w:after="0" w:line="240" w:lineRule="auto"/>
    </w:pPr>
    <w:rPr>
      <w:sz w:val="20"/>
      <w:szCs w:val="20"/>
    </w:rPr>
  </w:style>
  <w:style w:type="character" w:styleId="855" w:customStyle="1">
    <w:name w:val="Текст сноски Знак"/>
    <w:basedOn w:val="850"/>
    <w:link w:val="854"/>
    <w:uiPriority w:val="99"/>
    <w:rPr>
      <w:sz w:val="20"/>
      <w:szCs w:val="20"/>
    </w:rPr>
  </w:style>
  <w:style w:type="character" w:styleId="856">
    <w:name w:val="footnote reference"/>
    <w:basedOn w:val="850"/>
    <w:uiPriority w:val="99"/>
    <w:semiHidden/>
    <w:unhideWhenUsed/>
    <w:rPr>
      <w:vertAlign w:val="superscript"/>
    </w:rPr>
  </w:style>
  <w:style w:type="paragraph" w:styleId="857">
    <w:name w:val="HTML Preformatted"/>
    <w:basedOn w:val="849"/>
    <w:link w:val="858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zh-CN"/>
    </w:rPr>
  </w:style>
  <w:style w:type="character" w:styleId="858" w:customStyle="1">
    <w:name w:val="Стандартный HTML Знак"/>
    <w:basedOn w:val="850"/>
    <w:link w:val="857"/>
    <w:rPr>
      <w:rFonts w:ascii="Courier New" w:hAnsi="Courier New" w:eastAsia="Times New Roman" w:cs="Courier New"/>
      <w:sz w:val="20"/>
      <w:szCs w:val="20"/>
      <w:lang w:eastAsia="zh-CN"/>
    </w:rPr>
  </w:style>
  <w:style w:type="paragraph" w:styleId="859">
    <w:name w:val="Header"/>
    <w:basedOn w:val="849"/>
    <w:link w:val="860"/>
    <w:uiPriority w:val="99"/>
    <w:unhideWhenUsed/>
    <w:pPr>
      <w:tabs>
        <w:tab w:val="center" w:pos="4677" w:leader="none"/>
        <w:tab w:val="right" w:pos="9355" w:leader="none"/>
      </w:tabs>
      <w:spacing w:after="0" w:line="240" w:lineRule="auto"/>
    </w:pPr>
  </w:style>
  <w:style w:type="character" w:styleId="860" w:customStyle="1">
    <w:name w:val="Верхний колонтитул Знак"/>
    <w:basedOn w:val="850"/>
    <w:link w:val="859"/>
    <w:uiPriority w:val="99"/>
  </w:style>
  <w:style w:type="paragraph" w:styleId="861">
    <w:name w:val="Footer"/>
    <w:basedOn w:val="849"/>
    <w:link w:val="862"/>
    <w:uiPriority w:val="99"/>
    <w:unhideWhenUsed/>
    <w:pPr>
      <w:tabs>
        <w:tab w:val="center" w:pos="4677" w:leader="none"/>
        <w:tab w:val="right" w:pos="9355" w:leader="none"/>
      </w:tabs>
      <w:spacing w:after="0" w:line="240" w:lineRule="auto"/>
    </w:pPr>
  </w:style>
  <w:style w:type="character" w:styleId="862" w:customStyle="1">
    <w:name w:val="Нижний колонтитул Знак"/>
    <w:basedOn w:val="850"/>
    <w:link w:val="861"/>
    <w:uiPriority w:val="99"/>
  </w:style>
  <w:style w:type="paragraph" w:styleId="863">
    <w:name w:val="List Paragraph"/>
    <w:basedOn w:val="849"/>
    <w:uiPriority w:val="34"/>
    <w:qFormat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64" w:customStyle="1">
    <w:name w:val="ConsPlusNormal"/>
    <w:pPr>
      <w:keepNext w:val="0"/>
      <w:keepLines w:val="0"/>
      <w:pageBreakBefore w:val="0"/>
      <w:widowControl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 w:color="000000"/>
      <w:spacing w:before="0" w:beforeAutospacing="0" w:after="0" w:afterAutospacing="0" w:line="240" w:lineRule="auto"/>
      <w:ind w:left="0" w:right="0" w:firstLine="0"/>
      <w:contextualSpacing w:val="0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ru-RU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9F572-3E39-40BA-BF64-5C40FD505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Симончук Наталия Брониславовна</dc:creator>
  <cp:keywords/>
  <dc:description/>
  <cp:revision>26</cp:revision>
  <dcterms:created xsi:type="dcterms:W3CDTF">2022-12-13T12:27:00Z</dcterms:created>
  <dcterms:modified xsi:type="dcterms:W3CDTF">2024-10-15T05:11:33Z</dcterms:modified>
</cp:coreProperties>
</file>